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997" w:rsidRPr="00CC7D8E" w:rsidRDefault="00AF5997" w:rsidP="00AF5997">
      <w:pPr>
        <w:pStyle w:val="berschrift1"/>
        <w:spacing w:before="46"/>
        <w:ind w:left="116" w:right="1300" w:firstLine="0"/>
        <w:jc w:val="left"/>
        <w:rPr>
          <w:lang w:val="de-DE"/>
        </w:rPr>
      </w:pPr>
      <w:r w:rsidRPr="00CC7D8E">
        <w:rPr>
          <w:lang w:val="de-DE"/>
        </w:rPr>
        <w:t>Vorlage für Rangrücktrittsvereinbarung</w:t>
      </w:r>
    </w:p>
    <w:p w:rsidR="00AF5997" w:rsidRPr="00CC7D8E" w:rsidRDefault="00AF5997" w:rsidP="00AF5997">
      <w:pPr>
        <w:pStyle w:val="Textkrper"/>
        <w:rPr>
          <w:b/>
          <w:lang w:val="de-DE"/>
        </w:rPr>
      </w:pPr>
    </w:p>
    <w:p w:rsidR="00AF5997" w:rsidRPr="00CC7D8E" w:rsidRDefault="00AF5997" w:rsidP="00AF5997">
      <w:pPr>
        <w:pStyle w:val="Textkrper"/>
        <w:rPr>
          <w:b/>
          <w:lang w:val="de-DE"/>
        </w:rPr>
      </w:pPr>
    </w:p>
    <w:p w:rsidR="00AF5997" w:rsidRPr="00CC7D8E" w:rsidRDefault="00AF5997" w:rsidP="00AF5997">
      <w:pPr>
        <w:pStyle w:val="Textkrper"/>
        <w:rPr>
          <w:b/>
          <w:lang w:val="de-DE"/>
        </w:rPr>
      </w:pPr>
    </w:p>
    <w:p w:rsidR="00AF5997" w:rsidRPr="00CC7D8E" w:rsidRDefault="00AF5997" w:rsidP="00AF5997">
      <w:pPr>
        <w:tabs>
          <w:tab w:val="left" w:pos="836"/>
        </w:tabs>
        <w:spacing w:before="1"/>
        <w:ind w:left="476" w:right="117"/>
        <w:jc w:val="center"/>
        <w:rPr>
          <w:b/>
          <w:sz w:val="28"/>
          <w:lang w:val="de-DE"/>
        </w:rPr>
      </w:pPr>
      <w:r w:rsidRPr="00CC7D8E">
        <w:rPr>
          <w:b/>
          <w:sz w:val="28"/>
          <w:lang w:val="de-DE"/>
        </w:rPr>
        <w:t>Rangrücktrittsvereinbarung</w:t>
      </w:r>
    </w:p>
    <w:p w:rsidR="00AF5997" w:rsidRPr="00CC7D8E" w:rsidRDefault="00AF5997" w:rsidP="00AF5997">
      <w:pPr>
        <w:pStyle w:val="Textkrper"/>
        <w:spacing w:before="3"/>
        <w:rPr>
          <w:b/>
          <w:sz w:val="20"/>
          <w:lang w:val="de-DE"/>
        </w:rPr>
      </w:pPr>
    </w:p>
    <w:p w:rsidR="00AF5997" w:rsidRPr="00CC7D8E" w:rsidRDefault="00AF5997" w:rsidP="00AF5997">
      <w:pPr>
        <w:tabs>
          <w:tab w:val="left" w:pos="836"/>
        </w:tabs>
        <w:spacing w:before="1"/>
        <w:ind w:left="476" w:right="117"/>
        <w:jc w:val="center"/>
        <w:rPr>
          <w:lang w:val="de-DE"/>
        </w:rPr>
      </w:pPr>
      <w:r w:rsidRPr="00CC7D8E">
        <w:rPr>
          <w:lang w:val="de-DE"/>
        </w:rPr>
        <w:t xml:space="preserve">zwischen </w:t>
      </w:r>
    </w:p>
    <w:p w:rsidR="00AF5997" w:rsidRPr="00CC7D8E" w:rsidRDefault="00AF5997" w:rsidP="00AF5997">
      <w:pPr>
        <w:tabs>
          <w:tab w:val="left" w:pos="836"/>
        </w:tabs>
        <w:spacing w:before="1"/>
        <w:ind w:left="476" w:right="117"/>
        <w:jc w:val="center"/>
        <w:rPr>
          <w:lang w:val="de-DE"/>
        </w:rPr>
      </w:pPr>
    </w:p>
    <w:p w:rsidR="00AF5997" w:rsidRPr="00CC7D8E" w:rsidRDefault="00AF5997" w:rsidP="00AF5997">
      <w:pPr>
        <w:tabs>
          <w:tab w:val="left" w:pos="836"/>
        </w:tabs>
        <w:spacing w:before="1"/>
        <w:ind w:left="476" w:right="117"/>
        <w:jc w:val="center"/>
        <w:rPr>
          <w:lang w:val="de-DE"/>
        </w:rPr>
      </w:pPr>
    </w:p>
    <w:p w:rsidR="00AF5997" w:rsidRPr="00CC7D8E" w:rsidRDefault="00AF5997" w:rsidP="00CC7D8E">
      <w:pPr>
        <w:tabs>
          <w:tab w:val="left" w:pos="836"/>
        </w:tabs>
        <w:spacing w:before="1" w:after="120"/>
        <w:ind w:left="476" w:right="119"/>
        <w:rPr>
          <w:lang w:val="de-DE"/>
        </w:rPr>
      </w:pPr>
      <w:r w:rsidRPr="00CC7D8E">
        <w:rPr>
          <w:lang w:val="de-DE"/>
        </w:rPr>
        <w:fldChar w:fldCharType="begin">
          <w:ffData>
            <w:name w:val="Text1"/>
            <w:enabled/>
            <w:calcOnExit w:val="0"/>
            <w:textInput>
              <w:default w:val="Name, Anschrift, PLZ Ort"/>
            </w:textInput>
          </w:ffData>
        </w:fldChar>
      </w:r>
      <w:bookmarkStart w:id="0" w:name="Text1"/>
      <w:r w:rsidRPr="00CC7D8E">
        <w:rPr>
          <w:lang w:val="de-DE"/>
        </w:rPr>
        <w:instrText xml:space="preserve"> FORMTEXT </w:instrText>
      </w:r>
      <w:r w:rsidRPr="00CC7D8E">
        <w:rPr>
          <w:lang w:val="de-DE"/>
        </w:rPr>
      </w:r>
      <w:r w:rsidRPr="00CC7D8E">
        <w:rPr>
          <w:lang w:val="de-DE"/>
        </w:rPr>
        <w:fldChar w:fldCharType="separate"/>
      </w:r>
      <w:r w:rsidRPr="00CC7D8E">
        <w:rPr>
          <w:lang w:val="de-DE"/>
        </w:rPr>
        <w:t>Name, Anschrift, PLZ Ort</w:t>
      </w:r>
      <w:r w:rsidRPr="00CC7D8E">
        <w:rPr>
          <w:lang w:val="de-DE"/>
        </w:rPr>
        <w:fldChar w:fldCharType="end"/>
      </w:r>
      <w:bookmarkEnd w:id="0"/>
    </w:p>
    <w:p w:rsidR="00CC7D8E" w:rsidRDefault="00CC7D8E" w:rsidP="00CC7D8E">
      <w:pPr>
        <w:tabs>
          <w:tab w:val="left" w:pos="836"/>
        </w:tabs>
        <w:spacing w:before="1"/>
        <w:ind w:left="476" w:right="117"/>
        <w:jc w:val="right"/>
        <w:rPr>
          <w:lang w:val="de-DE"/>
        </w:rPr>
      </w:pPr>
      <w:r>
        <w:rPr>
          <w:lang w:val="de-DE"/>
        </w:rPr>
        <w:t xml:space="preserve">- </w:t>
      </w:r>
      <w:r w:rsidR="00AF5997" w:rsidRPr="00CC7D8E">
        <w:rPr>
          <w:lang w:val="de-DE"/>
        </w:rPr>
        <w:t xml:space="preserve">im folgenden Sicherungsgeber </w:t>
      </w:r>
      <w:r>
        <w:rPr>
          <w:lang w:val="de-DE"/>
        </w:rPr>
        <w:t>-</w:t>
      </w:r>
    </w:p>
    <w:p w:rsidR="00AF5997" w:rsidRPr="00CC7D8E" w:rsidRDefault="00AF5997" w:rsidP="00CC7D8E">
      <w:pPr>
        <w:tabs>
          <w:tab w:val="left" w:pos="836"/>
        </w:tabs>
        <w:spacing w:before="1"/>
        <w:ind w:left="476" w:right="117"/>
        <w:rPr>
          <w:lang w:val="de-DE"/>
        </w:rPr>
      </w:pPr>
      <w:r w:rsidRPr="00CC7D8E">
        <w:rPr>
          <w:lang w:val="de-DE"/>
        </w:rPr>
        <w:t>und</w:t>
      </w:r>
    </w:p>
    <w:p w:rsidR="00AF5997" w:rsidRPr="00CC7D8E" w:rsidRDefault="00AF5997" w:rsidP="00AF5997">
      <w:pPr>
        <w:tabs>
          <w:tab w:val="left" w:pos="836"/>
        </w:tabs>
        <w:spacing w:before="1"/>
        <w:ind w:left="476" w:right="117"/>
        <w:jc w:val="center"/>
        <w:rPr>
          <w:lang w:val="de-DE"/>
        </w:rPr>
      </w:pPr>
    </w:p>
    <w:p w:rsidR="00AF5997" w:rsidRPr="00CC7D8E" w:rsidRDefault="00AF5997" w:rsidP="00CC7D8E">
      <w:pPr>
        <w:tabs>
          <w:tab w:val="left" w:pos="836"/>
        </w:tabs>
        <w:spacing w:before="1" w:after="120"/>
        <w:ind w:left="476" w:right="119"/>
        <w:rPr>
          <w:lang w:val="de-DE"/>
        </w:rPr>
      </w:pPr>
      <w:r w:rsidRPr="00CC7D8E">
        <w:rPr>
          <w:lang w:val="de-DE"/>
        </w:rPr>
        <w:fldChar w:fldCharType="begin">
          <w:ffData>
            <w:name w:val=""/>
            <w:enabled/>
            <w:calcOnExit w:val="0"/>
            <w:textInput>
              <w:default w:val="Name, Anschrift, PLZ Ort; vertreten durch ..."/>
            </w:textInput>
          </w:ffData>
        </w:fldChar>
      </w:r>
      <w:r w:rsidRPr="00CC7D8E">
        <w:rPr>
          <w:lang w:val="de-DE"/>
        </w:rPr>
        <w:instrText xml:space="preserve"> FORMTEXT </w:instrText>
      </w:r>
      <w:r w:rsidRPr="00CC7D8E">
        <w:rPr>
          <w:lang w:val="de-DE"/>
        </w:rPr>
      </w:r>
      <w:r w:rsidRPr="00CC7D8E">
        <w:rPr>
          <w:lang w:val="de-DE"/>
        </w:rPr>
        <w:fldChar w:fldCharType="separate"/>
      </w:r>
      <w:r w:rsidRPr="00CC7D8E">
        <w:rPr>
          <w:lang w:val="de-DE"/>
        </w:rPr>
        <w:t>Name, Anschrift, PLZ Ort; vertreten durch ...</w:t>
      </w:r>
      <w:r w:rsidRPr="00CC7D8E">
        <w:rPr>
          <w:lang w:val="de-DE"/>
        </w:rPr>
        <w:fldChar w:fldCharType="end"/>
      </w:r>
    </w:p>
    <w:p w:rsidR="00AF5997" w:rsidRPr="00CC7D8E" w:rsidRDefault="00CC7D8E" w:rsidP="00CC7D8E">
      <w:pPr>
        <w:tabs>
          <w:tab w:val="left" w:pos="836"/>
        </w:tabs>
        <w:spacing w:before="1"/>
        <w:ind w:left="476" w:right="117"/>
        <w:jc w:val="right"/>
        <w:rPr>
          <w:lang w:val="de-DE"/>
        </w:rPr>
      </w:pPr>
      <w:r>
        <w:rPr>
          <w:lang w:val="de-DE"/>
        </w:rPr>
        <w:t xml:space="preserve">- </w:t>
      </w:r>
      <w:r w:rsidR="00AF5997" w:rsidRPr="00CC7D8E">
        <w:rPr>
          <w:lang w:val="de-DE"/>
        </w:rPr>
        <w:t>im folgenden Sicherungsnehmer</w:t>
      </w:r>
      <w:r>
        <w:rPr>
          <w:lang w:val="de-DE"/>
        </w:rPr>
        <w:t xml:space="preserve"> -</w:t>
      </w:r>
    </w:p>
    <w:p w:rsidR="00AF5997" w:rsidRPr="00CC7D8E" w:rsidRDefault="00AF5997" w:rsidP="00AF5997">
      <w:pPr>
        <w:tabs>
          <w:tab w:val="left" w:pos="836"/>
        </w:tabs>
        <w:spacing w:before="1"/>
        <w:ind w:left="476" w:right="117"/>
        <w:jc w:val="center"/>
        <w:rPr>
          <w:lang w:val="de-DE"/>
        </w:rPr>
      </w:pPr>
    </w:p>
    <w:p w:rsidR="00AF5997" w:rsidRPr="00CC7D8E" w:rsidRDefault="00AF5997" w:rsidP="00AF5997">
      <w:pPr>
        <w:pStyle w:val="Textkrper"/>
        <w:rPr>
          <w:sz w:val="22"/>
          <w:szCs w:val="22"/>
          <w:lang w:val="de-DE"/>
        </w:rPr>
      </w:pPr>
    </w:p>
    <w:p w:rsidR="00AF5997" w:rsidRPr="00CC7D8E" w:rsidRDefault="00AF5997" w:rsidP="00AF5997">
      <w:pPr>
        <w:pStyle w:val="Textkrper"/>
        <w:spacing w:before="9"/>
        <w:rPr>
          <w:sz w:val="22"/>
          <w:szCs w:val="22"/>
          <w:lang w:val="de-DE"/>
        </w:rPr>
      </w:pPr>
    </w:p>
    <w:p w:rsidR="00AF5997" w:rsidRPr="00CC7D8E" w:rsidRDefault="00AF5997" w:rsidP="00AF5997">
      <w:pPr>
        <w:pStyle w:val="Listenabsatz"/>
        <w:numPr>
          <w:ilvl w:val="1"/>
          <w:numId w:val="1"/>
        </w:numPr>
        <w:tabs>
          <w:tab w:val="left" w:pos="836"/>
        </w:tabs>
        <w:spacing w:before="1"/>
        <w:ind w:right="117" w:hanging="359"/>
        <w:rPr>
          <w:lang w:val="de-DE"/>
        </w:rPr>
      </w:pPr>
      <w:r w:rsidRPr="00CC7D8E">
        <w:rPr>
          <w:lang w:val="de-DE"/>
        </w:rPr>
        <w:t>Zur Absicherung der Finanzierung und zur Vermeidung einer Zahlungsunfähigkeit und Über</w:t>
      </w:r>
      <w:r w:rsidRPr="00CC7D8E">
        <w:rPr>
          <w:lang w:val="de-DE"/>
        </w:rPr>
        <w:softHyphen/>
        <w:t xml:space="preserve">schuldung des Sicherungsnehmers hat der Sicherungsgeber gegenüber der </w:t>
      </w:r>
      <w:r w:rsidRPr="00CC7D8E">
        <w:rPr>
          <w:lang w:val="de-DE"/>
        </w:rPr>
        <w:fldChar w:fldCharType="begin">
          <w:ffData>
            <w:name w:val=""/>
            <w:enabled/>
            <w:calcOnExit w:val="0"/>
            <w:textInput>
              <w:default w:val="Name der Bank erfassen"/>
            </w:textInput>
          </w:ffData>
        </w:fldChar>
      </w:r>
      <w:r w:rsidRPr="00CC7D8E">
        <w:rPr>
          <w:lang w:val="de-DE"/>
        </w:rPr>
        <w:instrText xml:space="preserve"> FORMTEXT </w:instrText>
      </w:r>
      <w:r w:rsidRPr="00CC7D8E">
        <w:rPr>
          <w:lang w:val="de-DE"/>
        </w:rPr>
      </w:r>
      <w:r w:rsidRPr="00CC7D8E">
        <w:rPr>
          <w:lang w:val="de-DE"/>
        </w:rPr>
        <w:fldChar w:fldCharType="separate"/>
      </w:r>
      <w:r w:rsidRPr="00CC7D8E">
        <w:rPr>
          <w:noProof/>
          <w:lang w:val="de-DE"/>
        </w:rPr>
        <w:t>Name der Bank erfassen</w:t>
      </w:r>
      <w:r w:rsidRPr="00CC7D8E">
        <w:rPr>
          <w:lang w:val="de-DE"/>
        </w:rPr>
        <w:fldChar w:fldCharType="end"/>
      </w:r>
      <w:r w:rsidRPr="00CC7D8E">
        <w:rPr>
          <w:lang w:val="de-DE"/>
        </w:rPr>
        <w:t xml:space="preserve"> eine/mehrere Bürgschaften  in  Höhe von </w:t>
      </w:r>
      <w:r w:rsidR="00CC7D8E">
        <w:rPr>
          <w:lang w:val="de-DE"/>
        </w:rPr>
        <w:fldChar w:fldCharType="begin">
          <w:ffData>
            <w:name w:val=""/>
            <w:enabled/>
            <w:calcOnExit w:val="0"/>
            <w:textInput>
              <w:default w:val="000.000,00 Euro"/>
            </w:textInput>
          </w:ffData>
        </w:fldChar>
      </w:r>
      <w:r w:rsidR="00CC7D8E">
        <w:rPr>
          <w:lang w:val="de-DE"/>
        </w:rPr>
        <w:instrText xml:space="preserve"> FORMTEXT </w:instrText>
      </w:r>
      <w:r w:rsidR="00CC7D8E">
        <w:rPr>
          <w:lang w:val="de-DE"/>
        </w:rPr>
      </w:r>
      <w:r w:rsidR="00CC7D8E">
        <w:rPr>
          <w:lang w:val="de-DE"/>
        </w:rPr>
        <w:fldChar w:fldCharType="separate"/>
      </w:r>
      <w:r w:rsidR="00CC7D8E">
        <w:rPr>
          <w:noProof/>
          <w:lang w:val="de-DE"/>
        </w:rPr>
        <w:t>000.000,00 Euro</w:t>
      </w:r>
      <w:r w:rsidR="00CC7D8E">
        <w:rPr>
          <w:lang w:val="de-DE"/>
        </w:rPr>
        <w:fldChar w:fldCharType="end"/>
      </w:r>
      <w:r w:rsidRPr="00CC7D8E">
        <w:rPr>
          <w:lang w:val="de-DE"/>
        </w:rPr>
        <w:t xml:space="preserve"> übernommen.</w:t>
      </w:r>
    </w:p>
    <w:p w:rsidR="00AF5997" w:rsidRPr="00CC7D8E" w:rsidRDefault="00AF5997" w:rsidP="00AF5997">
      <w:pPr>
        <w:pStyle w:val="Listenabsatz"/>
        <w:tabs>
          <w:tab w:val="left" w:pos="836"/>
        </w:tabs>
        <w:spacing w:before="1"/>
        <w:ind w:left="835" w:right="117" w:firstLine="0"/>
        <w:rPr>
          <w:lang w:val="de-DE"/>
        </w:rPr>
      </w:pPr>
    </w:p>
    <w:p w:rsidR="00AF5997" w:rsidRPr="00CC7D8E" w:rsidRDefault="00AF5997" w:rsidP="00AF5997">
      <w:pPr>
        <w:ind w:left="835"/>
        <w:jc w:val="both"/>
        <w:rPr>
          <w:lang w:val="de-DE"/>
        </w:rPr>
      </w:pPr>
      <w:r w:rsidRPr="00CC7D8E">
        <w:rPr>
          <w:lang w:val="de-DE"/>
        </w:rPr>
        <w:t>Diese ist / sind als Anlage 1 (und 2) Gegenstand dieser Vereinbarung.</w:t>
      </w:r>
    </w:p>
    <w:p w:rsidR="00AF5997" w:rsidRPr="00CC7D8E" w:rsidRDefault="00AF5997" w:rsidP="00AF5997">
      <w:pPr>
        <w:pStyle w:val="Textkrper"/>
        <w:spacing w:before="10"/>
        <w:rPr>
          <w:sz w:val="22"/>
          <w:szCs w:val="22"/>
          <w:lang w:val="de-DE"/>
        </w:rPr>
      </w:pPr>
    </w:p>
    <w:p w:rsidR="00AF5997" w:rsidRPr="00CC7D8E" w:rsidRDefault="00AF5997" w:rsidP="00AF5997">
      <w:pPr>
        <w:pStyle w:val="Listenabsatz"/>
        <w:numPr>
          <w:ilvl w:val="1"/>
          <w:numId w:val="1"/>
        </w:numPr>
        <w:tabs>
          <w:tab w:val="left" w:pos="836"/>
        </w:tabs>
        <w:spacing w:before="0"/>
        <w:ind w:right="119"/>
        <w:rPr>
          <w:lang w:val="de-DE"/>
        </w:rPr>
      </w:pPr>
      <w:r w:rsidRPr="00CC7D8E">
        <w:rPr>
          <w:lang w:val="de-DE"/>
        </w:rPr>
        <w:t>Aufgrund der aktuellen Finanzlage des Sicherungsnehmers und zur Vermeidung der Überschul</w:t>
      </w:r>
      <w:r w:rsidRPr="00CC7D8E">
        <w:rPr>
          <w:lang w:val="de-DE"/>
        </w:rPr>
        <w:softHyphen/>
        <w:t xml:space="preserve">dung oder eines sonstigen Insolvenzgrundes tritt der Sicherungsgeber für den Fall der Inanspruchnahme aus der Bürgschaft bis einschließlich </w:t>
      </w:r>
      <w:r w:rsidR="000D2BF8">
        <w:rPr>
          <w:lang w:val="de-DE"/>
        </w:rPr>
        <w:fldChar w:fldCharType="begin">
          <w:ffData>
            <w:name w:val=""/>
            <w:enabled/>
            <w:calcOnExit w:val="0"/>
            <w:textInput>
              <w:default w:val="30.06.2019 (Datum ggf. aktualisieren - Ende des Spieljahrs)"/>
            </w:textInput>
          </w:ffData>
        </w:fldChar>
      </w:r>
      <w:r w:rsidR="000D2BF8">
        <w:rPr>
          <w:lang w:val="de-DE"/>
        </w:rPr>
        <w:instrText xml:space="preserve"> FORMTEXT </w:instrText>
      </w:r>
      <w:r w:rsidR="000D2BF8">
        <w:rPr>
          <w:lang w:val="de-DE"/>
        </w:rPr>
      </w:r>
      <w:r w:rsidR="000D2BF8">
        <w:rPr>
          <w:lang w:val="de-DE"/>
        </w:rPr>
        <w:fldChar w:fldCharType="separate"/>
      </w:r>
      <w:r w:rsidR="000D2BF8">
        <w:rPr>
          <w:noProof/>
          <w:lang w:val="de-DE"/>
        </w:rPr>
        <w:t>30.06.2019 (Datum ggf. aktualisieren - Ende des Spieljahrs)</w:t>
      </w:r>
      <w:r w:rsidR="000D2BF8">
        <w:rPr>
          <w:lang w:val="de-DE"/>
        </w:rPr>
        <w:fldChar w:fldCharType="end"/>
      </w:r>
      <w:r w:rsidRPr="00CC7D8E">
        <w:rPr>
          <w:lang w:val="de-DE"/>
        </w:rPr>
        <w:t xml:space="preserve"> mit allen gegenwär</w:t>
      </w:r>
      <w:r w:rsidRPr="00CC7D8E">
        <w:rPr>
          <w:lang w:val="de-DE"/>
        </w:rPr>
        <w:softHyphen/>
        <w:t>tigen und zukünftigen Ansprüchen aus dem gesetzlichen Forderungsübergang</w:t>
      </w:r>
      <w:r w:rsidRPr="00CC7D8E">
        <w:rPr>
          <w:spacing w:val="6"/>
          <w:lang w:val="de-DE"/>
        </w:rPr>
        <w:t xml:space="preserve"> </w:t>
      </w:r>
      <w:r w:rsidRPr="00CC7D8E">
        <w:rPr>
          <w:lang w:val="de-DE"/>
        </w:rPr>
        <w:t>nach § 774 BGB einschließlich Verzinsung im Rang hinter allen Ansprüchen aller anderen gegen</w:t>
      </w:r>
      <w:r w:rsidRPr="00CC7D8E">
        <w:rPr>
          <w:lang w:val="de-DE"/>
        </w:rPr>
        <w:softHyphen/>
        <w:t>wärtigen und zukünftigen Gläubiger des Sicherungsnehmers zurück.</w:t>
      </w:r>
    </w:p>
    <w:p w:rsidR="00AF5997" w:rsidRPr="00CC7D8E" w:rsidRDefault="00AF5997" w:rsidP="00AF5997">
      <w:pPr>
        <w:pStyle w:val="Textkrper"/>
        <w:spacing w:before="1"/>
        <w:rPr>
          <w:sz w:val="22"/>
          <w:szCs w:val="22"/>
          <w:lang w:val="de-DE"/>
        </w:rPr>
      </w:pPr>
    </w:p>
    <w:p w:rsidR="00AF5997" w:rsidRPr="00CC7D8E" w:rsidRDefault="00AF5997" w:rsidP="00AF5997">
      <w:pPr>
        <w:pStyle w:val="Listenabsatz"/>
        <w:numPr>
          <w:ilvl w:val="1"/>
          <w:numId w:val="1"/>
        </w:numPr>
        <w:tabs>
          <w:tab w:val="left" w:pos="836"/>
        </w:tabs>
        <w:spacing w:before="0"/>
        <w:ind w:right="119"/>
        <w:rPr>
          <w:lang w:val="de-DE"/>
        </w:rPr>
      </w:pPr>
      <w:r w:rsidRPr="00CC7D8E">
        <w:rPr>
          <w:lang w:val="de-DE"/>
        </w:rPr>
        <w:t>Die Erfüllung solchermaßen nachrangiger Ansprüche kann nur aus einem etwaigen frei ver</w:t>
      </w:r>
      <w:r w:rsidRPr="00CC7D8E">
        <w:rPr>
          <w:lang w:val="de-DE"/>
        </w:rPr>
        <w:softHyphen/>
        <w:t>fügbaren Jahres- oder Liquidationsüberschuss oder aus dem die sonstigen Verbindlichkeiten des Sicherungsnehmers übersteigenden frei verfügbaren Vermögen geltend gemacht werden, und zwar nur nach Befriedigung sämtlicher Gesellschaftsgläubiger im Sinn des § 39 Abs. 2 InsO und im Rang vor den Einlagerückgewähransprüchen der Gesellschafter im Sinn des § 199 Satz 2 InsO. Die Nachrangigkeit entfällt ganz oder teilweise in dem  Umfang, in dem der Überschuldungstatbestand nicht mehr gegeben</w:t>
      </w:r>
      <w:r w:rsidRPr="00CC7D8E">
        <w:rPr>
          <w:spacing w:val="-28"/>
          <w:lang w:val="de-DE"/>
        </w:rPr>
        <w:t xml:space="preserve"> </w:t>
      </w:r>
      <w:r w:rsidRPr="00CC7D8E">
        <w:rPr>
          <w:lang w:val="de-DE"/>
        </w:rPr>
        <w:t>ist.</w:t>
      </w:r>
    </w:p>
    <w:p w:rsidR="00AF5997" w:rsidRPr="00CC7D8E" w:rsidRDefault="00AF5997" w:rsidP="00AF5997">
      <w:pPr>
        <w:pStyle w:val="Textkrper"/>
        <w:rPr>
          <w:sz w:val="22"/>
          <w:szCs w:val="22"/>
          <w:lang w:val="de-DE"/>
        </w:rPr>
      </w:pPr>
    </w:p>
    <w:p w:rsidR="00AF5997" w:rsidRPr="00CC7D8E" w:rsidRDefault="00AF5997" w:rsidP="00AF5997">
      <w:pPr>
        <w:pStyle w:val="Textkrper"/>
        <w:rPr>
          <w:sz w:val="22"/>
          <w:szCs w:val="22"/>
          <w:lang w:val="de-DE"/>
        </w:rPr>
      </w:pPr>
    </w:p>
    <w:p w:rsidR="00CC7D8E" w:rsidRPr="00CC7D8E" w:rsidRDefault="00CC7D8E" w:rsidP="00CC7D8E"/>
    <w:p w:rsidR="00CC7D8E" w:rsidRPr="00CC7D8E" w:rsidRDefault="00CC7D8E" w:rsidP="00CC7D8E">
      <w:r>
        <w:rPr>
          <w:lang w:val="de-DE"/>
        </w:rPr>
        <w:fldChar w:fldCharType="begin">
          <w:ffData>
            <w:name w:val=""/>
            <w:enabled/>
            <w:calcOnExit w:val="0"/>
            <w:textInput>
              <w:default w:val="Ort, Datum"/>
            </w:textInput>
          </w:ffData>
        </w:fldChar>
      </w:r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Ort, Datum</w:t>
      </w:r>
      <w:r>
        <w:rPr>
          <w:lang w:val="de-DE"/>
        </w:rPr>
        <w:fldChar w:fldCharType="end"/>
      </w:r>
    </w:p>
    <w:p w:rsidR="00CC7D8E" w:rsidRDefault="00CC7D8E" w:rsidP="00CC7D8E"/>
    <w:p w:rsidR="00CC7D8E" w:rsidRDefault="00CC7D8E" w:rsidP="00CC7D8E"/>
    <w:p w:rsidR="00CC7D8E" w:rsidRPr="00CC7D8E" w:rsidRDefault="00CC7D8E" w:rsidP="00CC7D8E"/>
    <w:tbl>
      <w:tblPr>
        <w:tblW w:w="0" w:type="auto"/>
        <w:tblLook w:val="04A0" w:firstRow="1" w:lastRow="0" w:firstColumn="1" w:lastColumn="0" w:noHBand="0" w:noVBand="1"/>
      </w:tblPr>
      <w:tblGrid>
        <w:gridCol w:w="4414"/>
        <w:gridCol w:w="242"/>
        <w:gridCol w:w="4654"/>
      </w:tblGrid>
      <w:tr w:rsidR="00CC7D8E" w:rsidRPr="00CC7D8E" w:rsidTr="00FB6072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D8E" w:rsidRPr="00CC7D8E" w:rsidRDefault="004D27A0" w:rsidP="00FB6072">
            <w:pPr>
              <w:rPr>
                <w:kern w:val="2"/>
              </w:rPr>
            </w:pPr>
            <w:r>
              <w:rPr>
                <w:lang w:val="de-DE"/>
              </w:rPr>
              <w:t xml:space="preserve">Unterschrift </w:t>
            </w:r>
            <w:r w:rsidR="00CC7D8E" w:rsidRPr="00CC7D8E">
              <w:rPr>
                <w:lang w:val="de-DE"/>
              </w:rPr>
              <w:t>Sicherungsgeber</w:t>
            </w:r>
          </w:p>
        </w:tc>
        <w:tc>
          <w:tcPr>
            <w:tcW w:w="244" w:type="dxa"/>
            <w:shd w:val="clear" w:color="auto" w:fill="auto"/>
          </w:tcPr>
          <w:p w:rsidR="00CC7D8E" w:rsidRPr="00CC7D8E" w:rsidRDefault="00CC7D8E" w:rsidP="00FB6072">
            <w:pPr>
              <w:rPr>
                <w:kern w:val="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D8E" w:rsidRPr="00CC7D8E" w:rsidRDefault="004D27A0" w:rsidP="00FB6072">
            <w:pPr>
              <w:rPr>
                <w:kern w:val="2"/>
              </w:rPr>
            </w:pPr>
            <w:r>
              <w:rPr>
                <w:lang w:val="de-DE"/>
              </w:rPr>
              <w:t xml:space="preserve">Unterschrift </w:t>
            </w:r>
            <w:bookmarkStart w:id="1" w:name="_GoBack"/>
            <w:bookmarkEnd w:id="1"/>
            <w:r w:rsidR="00CC7D8E" w:rsidRPr="00CC7D8E">
              <w:rPr>
                <w:lang w:val="de-DE"/>
              </w:rPr>
              <w:t>Sicherungsnehmer</w:t>
            </w:r>
          </w:p>
        </w:tc>
      </w:tr>
      <w:tr w:rsidR="00CC7D8E" w:rsidRPr="00CC7D8E" w:rsidTr="00FB6072">
        <w:tc>
          <w:tcPr>
            <w:tcW w:w="4644" w:type="dxa"/>
            <w:shd w:val="clear" w:color="auto" w:fill="auto"/>
          </w:tcPr>
          <w:p w:rsidR="00CC7D8E" w:rsidRPr="00CC7D8E" w:rsidRDefault="00CC7D8E" w:rsidP="00FB6072">
            <w:pPr>
              <w:rPr>
                <w:kern w:val="2"/>
              </w:rPr>
            </w:pPr>
          </w:p>
        </w:tc>
        <w:tc>
          <w:tcPr>
            <w:tcW w:w="244" w:type="dxa"/>
            <w:shd w:val="clear" w:color="auto" w:fill="auto"/>
          </w:tcPr>
          <w:p w:rsidR="00CC7D8E" w:rsidRPr="00CC7D8E" w:rsidRDefault="00CC7D8E" w:rsidP="00FB6072">
            <w:pPr>
              <w:rPr>
                <w:kern w:val="2"/>
              </w:rPr>
            </w:pPr>
          </w:p>
        </w:tc>
        <w:tc>
          <w:tcPr>
            <w:tcW w:w="4889" w:type="dxa"/>
            <w:shd w:val="clear" w:color="auto" w:fill="auto"/>
          </w:tcPr>
          <w:p w:rsidR="00CC7D8E" w:rsidRPr="00CC7D8E" w:rsidRDefault="00CC7D8E" w:rsidP="00FB6072">
            <w:pPr>
              <w:rPr>
                <w:kern w:val="2"/>
              </w:rPr>
            </w:pPr>
          </w:p>
        </w:tc>
      </w:tr>
    </w:tbl>
    <w:p w:rsidR="00AF5997" w:rsidRPr="00CC7D8E" w:rsidRDefault="00AF5997" w:rsidP="00AF5997">
      <w:pPr>
        <w:pStyle w:val="Textkrper"/>
        <w:rPr>
          <w:sz w:val="22"/>
          <w:szCs w:val="22"/>
          <w:lang w:val="de-DE"/>
        </w:rPr>
      </w:pPr>
    </w:p>
    <w:sectPr w:rsidR="00AF5997" w:rsidRPr="00CC7D8E">
      <w:pgSz w:w="11910" w:h="16840"/>
      <w:pgMar w:top="1340" w:right="1300" w:bottom="1240" w:left="1300" w:header="0" w:footer="104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72115"/>
    <w:multiLevelType w:val="hybridMultilevel"/>
    <w:tmpl w:val="B3B6E34A"/>
    <w:lvl w:ilvl="0" w:tplc="182CD510">
      <w:start w:val="15"/>
      <w:numFmt w:val="decimal"/>
      <w:lvlText w:val="%1."/>
      <w:lvlJc w:val="left"/>
      <w:pPr>
        <w:ind w:left="560" w:hanging="444"/>
      </w:pPr>
      <w:rPr>
        <w:rFonts w:ascii="Trebuchet MS" w:eastAsia="Trebuchet MS" w:hAnsi="Trebuchet MS" w:cs="Trebuchet MS" w:hint="default"/>
        <w:b/>
        <w:bCs/>
        <w:w w:val="99"/>
        <w:sz w:val="24"/>
        <w:szCs w:val="24"/>
      </w:rPr>
    </w:lvl>
    <w:lvl w:ilvl="1" w:tplc="70D2CB3A">
      <w:start w:val="1"/>
      <w:numFmt w:val="decimal"/>
      <w:lvlText w:val="%2."/>
      <w:lvlJc w:val="left"/>
      <w:pPr>
        <w:ind w:left="835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13562BCC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74D81DD8">
      <w:start w:val="1"/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71C8A67A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1F8ECBF0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45F05DF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2794C77E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C262BBC6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97"/>
    <w:rsid w:val="000D2BF8"/>
    <w:rsid w:val="004D27A0"/>
    <w:rsid w:val="005C52D1"/>
    <w:rsid w:val="00AF5997"/>
    <w:rsid w:val="00CC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D205E-AC5C-474F-84DB-0CECA55C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AF5997"/>
    <w:pPr>
      <w:widowControl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AF5997"/>
    <w:pPr>
      <w:spacing w:before="200"/>
      <w:ind w:left="418" w:hanging="302"/>
      <w:jc w:val="both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AF5997"/>
    <w:rPr>
      <w:rFonts w:ascii="Trebuchet MS" w:eastAsia="Trebuchet MS" w:hAnsi="Trebuchet MS" w:cs="Trebuchet MS"/>
      <w:b/>
      <w:bCs/>
      <w:sz w:val="24"/>
      <w:szCs w:val="24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AF5997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AF5997"/>
    <w:rPr>
      <w:rFonts w:ascii="Trebuchet MS" w:eastAsia="Trebuchet MS" w:hAnsi="Trebuchet MS" w:cs="Trebuchet MS"/>
      <w:sz w:val="24"/>
      <w:szCs w:val="24"/>
      <w:lang w:val="en-US"/>
    </w:rPr>
  </w:style>
  <w:style w:type="paragraph" w:styleId="Listenabsatz">
    <w:name w:val="List Paragraph"/>
    <w:basedOn w:val="Standard"/>
    <w:uiPriority w:val="1"/>
    <w:qFormat/>
    <w:rsid w:val="00AF5997"/>
    <w:pPr>
      <w:spacing w:before="200"/>
      <w:ind w:left="543" w:hanging="42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Sattler</dc:creator>
  <cp:keywords/>
  <dc:description/>
  <cp:lastModifiedBy>Daniel Sattler</cp:lastModifiedBy>
  <cp:revision>3</cp:revision>
  <dcterms:created xsi:type="dcterms:W3CDTF">2018-02-16T10:41:00Z</dcterms:created>
  <dcterms:modified xsi:type="dcterms:W3CDTF">2018-02-16T11:05:00Z</dcterms:modified>
</cp:coreProperties>
</file>